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510A">
      <w:pPr>
        <w:spacing w:line="560" w:lineRule="exac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3B15F5A9">
      <w:pPr>
        <w:pStyle w:val="4"/>
        <w:spacing w:before="0" w:beforeAutospacing="0" w:after="0" w:afterAutospacing="0" w:line="560" w:lineRule="exact"/>
        <w:jc w:val="center"/>
        <w:rPr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文艺汇演节目申报表</w:t>
      </w:r>
    </w:p>
    <w:p w14:paraId="52063E5D">
      <w:pPr>
        <w:pStyle w:val="5"/>
      </w:pPr>
    </w:p>
    <w:tbl>
      <w:tblPr>
        <w:tblStyle w:val="6"/>
        <w:tblW w:w="858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114"/>
        <w:gridCol w:w="2035"/>
        <w:gridCol w:w="2110"/>
      </w:tblGrid>
      <w:tr w14:paraId="3CB1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EE2FB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 w14:paraId="5717B1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ECFA5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F12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CDC3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节目名称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0AAE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E34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EBAE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节目形式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B4EFFBD">
            <w:pPr>
              <w:jc w:val="both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（例：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合唱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舞蹈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相声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小品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朗诵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</w:tc>
      </w:tr>
      <w:tr w14:paraId="47C6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A035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节目时长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AD1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09F2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参演人数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65C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6970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02F6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领队姓名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CBE5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ECDBC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6CE6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15F0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12CC0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领队助理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69E5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CAFC94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8095A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6457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0744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节目对灯光及音响的要求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D1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699C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请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日前将该表电子版及盖章扫描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版及录制的参选节目视频一并发送至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1091354560@qq.com，</w:t>
      </w:r>
      <w:r>
        <w:rPr>
          <w:rFonts w:hint="eastAsia" w:ascii="仿宋_GB2312" w:eastAsia="仿宋_GB2312"/>
          <w:sz w:val="28"/>
          <w:szCs w:val="28"/>
        </w:rPr>
        <w:t>联系电话：0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551-62657220；</w:t>
      </w:r>
    </w:p>
    <w:p w14:paraId="69E020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如有多个节目报送，可另附页；</w:t>
      </w:r>
    </w:p>
    <w:p w14:paraId="01F6BD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3.歌舞类节目参演人数建议不超过12人。</w:t>
      </w:r>
    </w:p>
    <w:p w14:paraId="2681CA5A"/>
    <w:p w14:paraId="55EADBBE">
      <w:bookmarkStart w:id="0" w:name="_GoBack"/>
      <w:bookmarkEnd w:id="0"/>
    </w:p>
    <w:sectPr>
      <w:footerReference r:id="rId3" w:type="default"/>
      <w:pgSz w:w="11906" w:h="16838"/>
      <w:pgMar w:top="873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D0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98B4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98B4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45F9"/>
    <w:rsid w:val="09B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2025-06-05T07:29:00Z</dcterms:created>
  <dc:creator>安徽省社区服务业协会</dc:creator>
  <cp:lastModifiedBy>安徽省社区服务业协会</cp:lastModifiedBy>
  <dcterms:modified xsi:type="dcterms:W3CDTF">2025-06-05T07:30:17Z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086E06E286BA4DCD8F22C383870B12B4_11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